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Arial" w:cs="Arial" w:eastAsia="Arial" w:hAnsi="Arial"/>
          <w:b w:val="1"/>
        </w:rPr>
      </w:pPr>
      <w:r w:rsidDel="00000000" w:rsidR="00000000" w:rsidRPr="00000000">
        <w:rPr>
          <w:rFonts w:ascii="Arial" w:cs="Arial" w:eastAsia="Arial" w:hAnsi="Arial"/>
          <w:b w:val="1"/>
          <w:sz w:val="36"/>
          <w:szCs w:val="36"/>
          <w:rtl w:val="0"/>
        </w:rPr>
        <w:t xml:space="preserve">Call-Off Schedule 26 (Special Schedule)</w:t>
      </w:r>
      <w:r w:rsidDel="00000000" w:rsidR="00000000" w:rsidRPr="00000000">
        <w:rPr>
          <w:rtl w:val="0"/>
        </w:rPr>
      </w:r>
    </w:p>
    <w:p w:rsidR="00000000" w:rsidDel="00000000" w:rsidP="00000000" w:rsidRDefault="00000000" w:rsidRPr="00000000" w14:paraId="00000002">
      <w:pPr>
        <w:spacing w:after="0" w:line="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3">
      <w:pPr>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LEGAL SERVICES CONTRACT</w:t>
      </w:r>
    </w:p>
    <w:p w:rsidR="00000000" w:rsidDel="00000000" w:rsidP="00000000" w:rsidRDefault="00000000" w:rsidRPr="00000000" w14:paraId="00000004">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5">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6">
      <w:pPr>
        <w:spacing w:after="0" w:line="240" w:lineRule="auto"/>
        <w:rPr>
          <w:rFonts w:ascii="Arial" w:cs="Arial" w:eastAsia="Arial" w:hAnsi="Arial"/>
        </w:rPr>
      </w:pPr>
      <w:r w:rsidDel="00000000" w:rsidR="00000000" w:rsidRPr="00000000">
        <w:rPr>
          <w:rFonts w:ascii="Arial" w:cs="Arial" w:eastAsia="Arial" w:hAnsi="Arial"/>
          <w:rtl w:val="0"/>
        </w:rPr>
        <w:t xml:space="preserve">Where the Services provided under a Call-Off Contract include Legal Services, the following provisions shall apply: -</w:t>
      </w:r>
    </w:p>
    <w:p w:rsidR="00000000" w:rsidDel="00000000" w:rsidP="00000000" w:rsidRDefault="00000000" w:rsidRPr="00000000" w14:paraId="00000007">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8">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09">
      <w:pPr>
        <w:spacing w:after="0" w:line="240" w:lineRule="auto"/>
        <w:jc w:val="both"/>
        <w:rPr>
          <w:rFonts w:ascii="Arial" w:cs="Arial" w:eastAsia="Arial" w:hAnsi="Arial"/>
          <w:b w:val="1"/>
          <w:u w:val="single"/>
        </w:rPr>
      </w:pPr>
      <w:r w:rsidDel="00000000" w:rsidR="00000000" w:rsidRPr="00000000">
        <w:rPr>
          <w:rFonts w:ascii="Arial" w:cs="Arial" w:eastAsia="Arial" w:hAnsi="Arial"/>
          <w:b w:val="1"/>
          <w:u w:val="single"/>
          <w:rtl w:val="0"/>
        </w:rPr>
        <w:t xml:space="preserve">The Core Terms shall be amended as follows: -</w:t>
      </w:r>
    </w:p>
    <w:p w:rsidR="00000000" w:rsidDel="00000000" w:rsidP="00000000" w:rsidRDefault="00000000" w:rsidRPr="00000000" w14:paraId="0000000A">
      <w:pPr>
        <w:spacing w:after="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0B">
      <w:pPr>
        <w:spacing w:after="0" w:line="240" w:lineRule="auto"/>
        <w:jc w:val="both"/>
        <w:rPr>
          <w:rFonts w:ascii="Arial" w:cs="Arial" w:eastAsia="Arial" w:hAnsi="Arial"/>
        </w:rPr>
      </w:pPr>
      <w:r w:rsidDel="00000000" w:rsidR="00000000" w:rsidRPr="00000000">
        <w:rPr>
          <w:rFonts w:ascii="Arial" w:cs="Arial" w:eastAsia="Arial" w:hAnsi="Arial"/>
          <w:b w:val="1"/>
          <w:rtl w:val="0"/>
        </w:rPr>
        <w:t xml:space="preserve">3.1 </w:t>
        <w:tab/>
        <w:t xml:space="preserve">All Deliverables </w:t>
      </w:r>
      <w:r w:rsidDel="00000000" w:rsidR="00000000" w:rsidRPr="00000000">
        <w:rPr>
          <w:rtl w:val="0"/>
        </w:rPr>
      </w:r>
    </w:p>
    <w:p w:rsidR="00000000" w:rsidDel="00000000" w:rsidP="00000000" w:rsidRDefault="00000000" w:rsidRPr="00000000" w14:paraId="0000000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D">
      <w:pPr>
        <w:spacing w:after="0" w:line="240" w:lineRule="auto"/>
        <w:ind w:left="709" w:hanging="709"/>
        <w:jc w:val="both"/>
        <w:rPr>
          <w:rFonts w:ascii="Arial" w:cs="Arial" w:eastAsia="Arial" w:hAnsi="Arial"/>
        </w:rPr>
      </w:pPr>
      <w:r w:rsidDel="00000000" w:rsidR="00000000" w:rsidRPr="00000000">
        <w:rPr>
          <w:rFonts w:ascii="Arial" w:cs="Arial" w:eastAsia="Arial" w:hAnsi="Arial"/>
          <w:rtl w:val="0"/>
        </w:rPr>
        <w:t xml:space="preserve">3.1.3</w:t>
        <w:tab/>
        <w:t xml:space="preserve">The Supplier shall bring to the attention of the Buyer any conflict between:</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01" w:right="0" w:hanging="55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w:t>
        <w:tab/>
        <w:t xml:space="preserve">the Core Terms or Special Terms in a Contract;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01" w:right="0" w:hanging="55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 </w:t>
        <w:tab/>
        <w:t xml:space="preserve">Call-Off Schedule 26 (Special Schedule); and/or</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01" w:right="0" w:hanging="55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w:t>
        <w:tab/>
        <w:t xml:space="preserve">any of the requirements in Clause 3.1.1;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1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shall comply with the Buyer’s decision on the resolution of any such conflict.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3">
      <w:pPr>
        <w:spacing w:after="0" w:line="240" w:lineRule="auto"/>
        <w:jc w:val="both"/>
        <w:rPr>
          <w:rFonts w:ascii="Arial" w:cs="Arial" w:eastAsia="Arial" w:hAnsi="Arial"/>
          <w:b w:val="1"/>
        </w:rPr>
      </w:pPr>
      <w:r w:rsidDel="00000000" w:rsidR="00000000" w:rsidRPr="00000000">
        <w:rPr>
          <w:rFonts w:ascii="Arial" w:cs="Arial" w:eastAsia="Arial" w:hAnsi="Arial"/>
          <w:b w:val="1"/>
          <w:rtl w:val="0"/>
        </w:rPr>
        <w:t xml:space="preserve">9.</w:t>
        <w:tab/>
        <w:t xml:space="preserve">Intellectual Property Rights (IPRs)</w:t>
      </w:r>
    </w:p>
    <w:p w:rsidR="00000000" w:rsidDel="00000000" w:rsidP="00000000" w:rsidRDefault="00000000" w:rsidRPr="00000000" w14:paraId="00000014">
      <w:pPr>
        <w:spacing w:after="0" w:line="240" w:lineRule="auto"/>
        <w:ind w:left="567"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Clause 9.2, each Party keeps ownership of its own Existing IPRs.</w:t>
      </w:r>
    </w:p>
    <w:p w:rsidR="00000000" w:rsidDel="00000000" w:rsidP="00000000" w:rsidRDefault="00000000" w:rsidRPr="00000000" w14:paraId="00000016">
      <w:pPr>
        <w:spacing w:after="0" w:line="240" w:lineRule="auto"/>
        <w:ind w:left="567"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17">
      <w:pPr>
        <w:spacing w:after="0" w:line="240" w:lineRule="auto"/>
        <w:ind w:left="567" w:hanging="567"/>
        <w:jc w:val="both"/>
        <w:rPr>
          <w:rFonts w:ascii="Arial" w:cs="Arial" w:eastAsia="Arial" w:hAnsi="Arial"/>
        </w:rPr>
      </w:pPr>
      <w:r w:rsidDel="00000000" w:rsidR="00000000" w:rsidRPr="00000000">
        <w:rPr>
          <w:rFonts w:ascii="Arial" w:cs="Arial" w:eastAsia="Arial" w:hAnsi="Arial"/>
          <w:rtl w:val="0"/>
        </w:rPr>
        <w:t xml:space="preserve">9.2</w:t>
        <w:tab/>
        <w:t xml:space="preserve">Unless otherwise provided in the Order Form:</w:t>
      </w:r>
    </w:p>
    <w:p w:rsidR="00000000" w:rsidDel="00000000" w:rsidP="00000000" w:rsidRDefault="00000000" w:rsidRPr="00000000" w14:paraId="00000018">
      <w:pPr>
        <w:spacing w:after="0" w:line="240" w:lineRule="auto"/>
        <w:ind w:left="567"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Intellectual Property Rights in the output from the Deliverables shall vest in the Supplier who shall grant to the Buyer a non-exclusive, unlimited, perpetual, royalty-free, irrevocable, transferable worldwide licence to use, change, exploit and sub-license the same; and</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gives the Buyer a non-exclusive, perpetual, royalty-free, irrevocable, transferrable worldwide licence to use, change and sub-licence Supplier’s Existing IPR to enable it to both:</w:t>
      </w:r>
    </w:p>
    <w:p w:rsidR="00000000" w:rsidDel="00000000" w:rsidP="00000000" w:rsidRDefault="00000000" w:rsidRPr="00000000" w14:paraId="0000001C">
      <w:pPr>
        <w:spacing w:after="0" w:line="240" w:lineRule="auto"/>
        <w:ind w:left="1276" w:hanging="425"/>
        <w:jc w:val="both"/>
        <w:rPr>
          <w:rFonts w:ascii="Arial" w:cs="Arial" w:eastAsia="Arial" w:hAnsi="Arial"/>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receive and use the Deliverables; and</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 </w:t>
        <w:tab/>
        <w:t xml:space="preserve">make use of the deliverables provided by a Replacement Supplier.</w:t>
      </w:r>
    </w:p>
    <w:p w:rsidR="00000000" w:rsidDel="00000000" w:rsidP="00000000" w:rsidRDefault="00000000" w:rsidRPr="00000000" w14:paraId="0000001F">
      <w:pPr>
        <w:spacing w:after="0" w:line="240" w:lineRule="auto"/>
        <w:ind w:left="567"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0">
      <w:pPr>
        <w:spacing w:after="0" w:line="240" w:lineRule="auto"/>
        <w:ind w:left="567" w:hanging="567"/>
        <w:jc w:val="both"/>
        <w:rPr>
          <w:rFonts w:ascii="Arial" w:cs="Arial" w:eastAsia="Arial" w:hAnsi="Arial"/>
        </w:rPr>
      </w:pPr>
      <w:r w:rsidDel="00000000" w:rsidR="00000000" w:rsidRPr="00000000">
        <w:rPr>
          <w:rFonts w:ascii="Arial" w:cs="Arial" w:eastAsia="Arial" w:hAnsi="Arial"/>
          <w:rtl w:val="0"/>
        </w:rPr>
        <w:t xml:space="preserve">9.4</w:t>
        <w:tab/>
        <w:t xml:space="preserve">Neither Party has the right to use the other Party’s IPRs, including any use of the other Party’s names, logos or trademarks, except as provided in Clause 9 or otherwise agreed in writing.  However, nothing shall prevent a Buyer from using any techniques, ideas, Know-How which the Buyer has gained during the performance of the Contract in the course of its normal business to the extent that this use does not result in the disclosure of the Supplier’s Confidential Information or an infringement of IPRs.</w:t>
      </w:r>
    </w:p>
    <w:p w:rsidR="00000000" w:rsidDel="00000000" w:rsidP="00000000" w:rsidRDefault="00000000" w:rsidRPr="00000000" w14:paraId="00000021">
      <w:pPr>
        <w:spacing w:after="0" w:line="240" w:lineRule="auto"/>
        <w:ind w:left="567"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2">
      <w:pPr>
        <w:spacing w:after="0" w:line="240" w:lineRule="auto"/>
        <w:ind w:left="567" w:hanging="567"/>
        <w:jc w:val="both"/>
        <w:rPr>
          <w:rFonts w:ascii="Arial" w:cs="Arial" w:eastAsia="Arial" w:hAnsi="Arial"/>
        </w:rPr>
      </w:pPr>
      <w:r w:rsidDel="00000000" w:rsidR="00000000" w:rsidRPr="00000000">
        <w:rPr>
          <w:rFonts w:ascii="Arial" w:cs="Arial" w:eastAsia="Arial" w:hAnsi="Arial"/>
          <w:rtl w:val="0"/>
        </w:rPr>
        <w:t xml:space="preserve">9.5</w:t>
        <w:tab/>
        <w:t xml:space="preserve">If there is an IPR Claim, the Supplier indemnifies CCS and each Buyer against all Losses incurred as a result.</w:t>
      </w:r>
    </w:p>
    <w:p w:rsidR="00000000" w:rsidDel="00000000" w:rsidP="00000000" w:rsidRDefault="00000000" w:rsidRPr="00000000" w14:paraId="00000023">
      <w:pPr>
        <w:spacing w:after="0" w:line="240" w:lineRule="auto"/>
        <w:ind w:left="567"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4">
      <w:pPr>
        <w:spacing w:after="0" w:line="240" w:lineRule="auto"/>
        <w:ind w:left="567" w:hanging="567"/>
        <w:jc w:val="both"/>
        <w:rPr>
          <w:rFonts w:ascii="Arial" w:cs="Arial" w:eastAsia="Arial" w:hAnsi="Arial"/>
        </w:rPr>
      </w:pPr>
      <w:r w:rsidDel="00000000" w:rsidR="00000000" w:rsidRPr="00000000">
        <w:rPr>
          <w:rFonts w:ascii="Arial" w:cs="Arial" w:eastAsia="Arial" w:hAnsi="Arial"/>
          <w:rtl w:val="0"/>
        </w:rPr>
        <w:t xml:space="preserve">9.6</w:t>
        <w:tab/>
        <w:t xml:space="preserve">If an IPR Claim is made: -</w:t>
      </w:r>
    </w:p>
    <w:p w:rsidR="00000000" w:rsidDel="00000000" w:rsidP="00000000" w:rsidRDefault="00000000" w:rsidRPr="00000000" w14:paraId="00000025">
      <w:pPr>
        <w:spacing w:after="0" w:line="240" w:lineRule="auto"/>
        <w:ind w:left="567"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notify the Supplier in writing of the IPR Claim and the Buyer shall not make any admissions which may be prejudicial to its defence or settlement.  The Supplier shall at its own expense conduct all negotiations and any litigation arising out of or in connection with the IPR Claim provided always that the Supplier shall: -</w:t>
      </w:r>
    </w:p>
    <w:p w:rsidR="00000000" w:rsidDel="00000000" w:rsidP="00000000" w:rsidRDefault="00000000" w:rsidRPr="00000000" w14:paraId="0000002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713" w:right="0" w:hanging="43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consult CCS and the Buyer on all substantive issues which arise during the conduct of such litigation and negotiations;</w:t>
      </w:r>
    </w:p>
    <w:p w:rsidR="00000000" w:rsidDel="00000000" w:rsidP="00000000" w:rsidRDefault="00000000" w:rsidRPr="00000000" w14:paraId="0000002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713" w:right="0" w:hanging="43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take due and proper account of the interests of the CCS and the Buyer; </w:t>
      </w:r>
    </w:p>
    <w:p w:rsidR="00000000" w:rsidDel="00000000" w:rsidP="00000000" w:rsidRDefault="00000000" w:rsidRPr="00000000" w14:paraId="0000002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713" w:right="0" w:hanging="43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consider and defend the IPR Claim diligently using competent counsel and in such a way as not to bring the reputation of the Buyer into disrepute; and </w:t>
      </w:r>
    </w:p>
    <w:p w:rsidR="00000000" w:rsidDel="00000000" w:rsidP="00000000" w:rsidRDefault="00000000" w:rsidRPr="00000000" w14:paraId="0000002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713" w:right="0" w:hanging="43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 settle or compromise the IPR Claim without the prior written approval of the Buyer (not to be unreasonably withheld or delayed).</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6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or anticipated the Supplier must at its own expense and the Buyer’s sole option, either:</w:t>
      </w:r>
    </w:p>
    <w:p w:rsidR="00000000" w:rsidDel="00000000" w:rsidP="00000000" w:rsidRDefault="00000000" w:rsidRPr="00000000" w14:paraId="0000002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713"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obtain for CCS and the Buyer the rights in Clause 9.1 and 9.2 without infringing any third party IPR; or</w:t>
      </w:r>
    </w:p>
    <w:p w:rsidR="00000000" w:rsidDel="00000000" w:rsidP="00000000" w:rsidRDefault="00000000" w:rsidRPr="00000000" w14:paraId="0000002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713"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replace or modify the relevant item with substitutes that do not infringe IPR without adversely affecting the accuracy, completeness, reliability, functionality or performance of the Deliverables.</w:t>
      </w:r>
      <w:r w:rsidDel="00000000" w:rsidR="00000000" w:rsidRPr="00000000">
        <w:rPr>
          <w:rtl w:val="0"/>
        </w:rPr>
      </w:r>
    </w:p>
    <w:p w:rsidR="00000000" w:rsidDel="00000000" w:rsidP="00000000" w:rsidRDefault="00000000" w:rsidRPr="00000000" w14:paraId="0000002F">
      <w:pPr>
        <w:spacing w:after="0" w:line="240" w:lineRule="auto"/>
        <w:jc w:val="both"/>
        <w:rPr>
          <w:rFonts w:ascii="Arial" w:cs="Arial" w:eastAsia="Arial" w:hAnsi="Arial"/>
          <w:strike w:val="1"/>
        </w:rPr>
      </w:pPr>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RM6360</w:t>
      <w:br w:type="textWrapping"/>
      <w:t xml:space="preserve">Project Version: v1.0</w:t>
      <w:br w:type="textWrapping"/>
      <w:t xml:space="preserve">Model Version: v3.4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24 (Special Schedule)</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9"/>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
    <w:lvl w:ilvl="0">
      <w:start w:val="1"/>
      <w:numFmt w:val="lowerRoman"/>
      <w:lvlText w:val="(%1)"/>
      <w:lvlJc w:val="left"/>
      <w:pPr>
        <w:ind w:left="1571" w:hanging="360"/>
      </w:pPr>
      <w:rPr/>
    </w:lvl>
    <w:lvl w:ilvl="1">
      <w:start w:val="1"/>
      <w:numFmt w:val="lowerLetter"/>
      <w:lvlText w:val="%2."/>
      <w:lvlJc w:val="left"/>
      <w:pPr>
        <w:ind w:left="2291" w:hanging="360"/>
      </w:pPr>
      <w:rPr/>
    </w:lvl>
    <w:lvl w:ilvl="2">
      <w:start w:val="1"/>
      <w:numFmt w:val="lowerRoman"/>
      <w:lvlText w:val="%3."/>
      <w:lvlJc w:val="right"/>
      <w:pPr>
        <w:ind w:left="3011" w:hanging="180"/>
      </w:pPr>
      <w:rPr/>
    </w:lvl>
    <w:lvl w:ilvl="3">
      <w:start w:val="1"/>
      <w:numFmt w:val="decimal"/>
      <w:lvlText w:val="%4."/>
      <w:lvlJc w:val="left"/>
      <w:pPr>
        <w:ind w:left="3731" w:hanging="360"/>
      </w:pPr>
      <w:rPr/>
    </w:lvl>
    <w:lvl w:ilvl="4">
      <w:start w:val="1"/>
      <w:numFmt w:val="lowerLetter"/>
      <w:lvlText w:val="%5."/>
      <w:lvlJc w:val="left"/>
      <w:pPr>
        <w:ind w:left="4451" w:hanging="360"/>
      </w:pPr>
      <w:rPr/>
    </w:lvl>
    <w:lvl w:ilvl="5">
      <w:start w:val="1"/>
      <w:numFmt w:val="lowerRoman"/>
      <w:lvlText w:val="%6."/>
      <w:lvlJc w:val="right"/>
      <w:pPr>
        <w:ind w:left="5171" w:hanging="180"/>
      </w:pPr>
      <w:rPr/>
    </w:lvl>
    <w:lvl w:ilvl="6">
      <w:start w:val="1"/>
      <w:numFmt w:val="decimal"/>
      <w:lvlText w:val="%7."/>
      <w:lvlJc w:val="left"/>
      <w:pPr>
        <w:ind w:left="5891" w:hanging="360"/>
      </w:pPr>
      <w:rPr/>
    </w:lvl>
    <w:lvl w:ilvl="7">
      <w:start w:val="1"/>
      <w:numFmt w:val="lowerLetter"/>
      <w:lvlText w:val="%8."/>
      <w:lvlJc w:val="left"/>
      <w:pPr>
        <w:ind w:left="6611" w:hanging="360"/>
      </w:pPr>
      <w:rPr/>
    </w:lvl>
    <w:lvl w:ilvl="8">
      <w:start w:val="1"/>
      <w:numFmt w:val="lowerRoman"/>
      <w:lvlText w:val="%9."/>
      <w:lvlJc w:val="right"/>
      <w:pPr>
        <w:ind w:left="7331" w:hanging="180"/>
      </w:pPr>
      <w:rPr/>
    </w:lvl>
  </w:abstractNum>
  <w:abstractNum w:abstractNumId="4">
    <w:lvl w:ilvl="0">
      <w:start w:val="1"/>
      <w:numFmt w:val="lowerLetter"/>
      <w:lvlText w:val="(%1)"/>
      <w:lvlJc w:val="left"/>
      <w:pPr>
        <w:ind w:left="1353" w:hanging="359.9999999999999"/>
      </w:pPr>
      <w:rPr/>
    </w:lvl>
    <w:lvl w:ilvl="1">
      <w:start w:val="1"/>
      <w:numFmt w:val="lowerLetter"/>
      <w:lvlText w:val="%2."/>
      <w:lvlJc w:val="left"/>
      <w:pPr>
        <w:ind w:left="2073" w:hanging="360"/>
      </w:pPr>
      <w:rPr/>
    </w:lvl>
    <w:lvl w:ilvl="2">
      <w:start w:val="1"/>
      <w:numFmt w:val="lowerRoman"/>
      <w:lvlText w:val="%3."/>
      <w:lvlJc w:val="right"/>
      <w:pPr>
        <w:ind w:left="2793" w:hanging="180"/>
      </w:pPr>
      <w:rPr/>
    </w:lvl>
    <w:lvl w:ilvl="3">
      <w:start w:val="1"/>
      <w:numFmt w:val="decimal"/>
      <w:lvlText w:val="%4."/>
      <w:lvlJc w:val="left"/>
      <w:pPr>
        <w:ind w:left="3513" w:hanging="360"/>
      </w:pPr>
      <w:rPr/>
    </w:lvl>
    <w:lvl w:ilvl="4">
      <w:start w:val="1"/>
      <w:numFmt w:val="lowerLetter"/>
      <w:lvlText w:val="%5."/>
      <w:lvlJc w:val="left"/>
      <w:pPr>
        <w:ind w:left="4233" w:hanging="360"/>
      </w:pPr>
      <w:rPr/>
    </w:lvl>
    <w:lvl w:ilvl="5">
      <w:start w:val="1"/>
      <w:numFmt w:val="lowerRoman"/>
      <w:lvlText w:val="%6."/>
      <w:lvlJc w:val="right"/>
      <w:pPr>
        <w:ind w:left="4953" w:hanging="180"/>
      </w:pPr>
      <w:rPr/>
    </w:lvl>
    <w:lvl w:ilvl="6">
      <w:start w:val="1"/>
      <w:numFmt w:val="decimal"/>
      <w:lvlText w:val="%7."/>
      <w:lvlJc w:val="left"/>
      <w:pPr>
        <w:ind w:left="5673" w:hanging="360"/>
      </w:pPr>
      <w:rPr/>
    </w:lvl>
    <w:lvl w:ilvl="7">
      <w:start w:val="1"/>
      <w:numFmt w:val="lowerLetter"/>
      <w:lvlText w:val="%8."/>
      <w:lvlJc w:val="left"/>
      <w:pPr>
        <w:ind w:left="6393" w:hanging="360"/>
      </w:pPr>
      <w:rPr/>
    </w:lvl>
    <w:lvl w:ilvl="8">
      <w:start w:val="1"/>
      <w:numFmt w:val="lowerRoman"/>
      <w:lvlText w:val="%9."/>
      <w:lvlJc w:val="right"/>
      <w:pPr>
        <w:ind w:left="7113" w:hanging="180"/>
      </w:pPr>
      <w:rPr/>
    </w:lvl>
  </w:abstractNum>
  <w:abstractNum w:abstractNumId="5">
    <w:lvl w:ilvl="0">
      <w:start w:val="1"/>
      <w:numFmt w:val="lowerRoman"/>
      <w:lvlText w:val="(%1)"/>
      <w:lvlJc w:val="left"/>
      <w:pPr>
        <w:ind w:left="1713" w:hanging="360"/>
      </w:pPr>
      <w:rPr/>
    </w:lvl>
    <w:lvl w:ilvl="1">
      <w:start w:val="1"/>
      <w:numFmt w:val="lowerLetter"/>
      <w:lvlText w:val="%2."/>
      <w:lvlJc w:val="left"/>
      <w:pPr>
        <w:ind w:left="2433" w:hanging="360"/>
      </w:pPr>
      <w:rPr/>
    </w:lvl>
    <w:lvl w:ilvl="2">
      <w:start w:val="1"/>
      <w:numFmt w:val="lowerRoman"/>
      <w:lvlText w:val="%3."/>
      <w:lvlJc w:val="right"/>
      <w:pPr>
        <w:ind w:left="3153" w:hanging="180"/>
      </w:pPr>
      <w:rPr/>
    </w:lvl>
    <w:lvl w:ilvl="3">
      <w:start w:val="1"/>
      <w:numFmt w:val="decimal"/>
      <w:lvlText w:val="%4."/>
      <w:lvlJc w:val="left"/>
      <w:pPr>
        <w:ind w:left="3873" w:hanging="360"/>
      </w:pPr>
      <w:rPr/>
    </w:lvl>
    <w:lvl w:ilvl="4">
      <w:start w:val="1"/>
      <w:numFmt w:val="lowerLetter"/>
      <w:lvlText w:val="%5."/>
      <w:lvlJc w:val="left"/>
      <w:pPr>
        <w:ind w:left="4593" w:hanging="360"/>
      </w:pPr>
      <w:rPr/>
    </w:lvl>
    <w:lvl w:ilvl="5">
      <w:start w:val="1"/>
      <w:numFmt w:val="lowerRoman"/>
      <w:lvlText w:val="%6."/>
      <w:lvlJc w:val="right"/>
      <w:pPr>
        <w:ind w:left="5313" w:hanging="180"/>
      </w:pPr>
      <w:rPr/>
    </w:lvl>
    <w:lvl w:ilvl="6">
      <w:start w:val="1"/>
      <w:numFmt w:val="decimal"/>
      <w:lvlText w:val="%7."/>
      <w:lvlJc w:val="left"/>
      <w:pPr>
        <w:ind w:left="6033" w:hanging="360"/>
      </w:pPr>
      <w:rPr/>
    </w:lvl>
    <w:lvl w:ilvl="7">
      <w:start w:val="1"/>
      <w:numFmt w:val="lowerLetter"/>
      <w:lvlText w:val="%8."/>
      <w:lvlJc w:val="left"/>
      <w:pPr>
        <w:ind w:left="6753" w:hanging="360"/>
      </w:pPr>
      <w:rPr/>
    </w:lvl>
    <w:lvl w:ilvl="8">
      <w:start w:val="1"/>
      <w:numFmt w:val="lowerRoman"/>
      <w:lvlText w:val="%9."/>
      <w:lvlJc w:val="right"/>
      <w:pPr>
        <w:ind w:left="7473" w:hanging="180"/>
      </w:pPr>
      <w:rPr/>
    </w:lvl>
  </w:abstractNum>
  <w:abstractNum w:abstractNumId="6">
    <w:lvl w:ilvl="0">
      <w:start w:val="1"/>
      <w:numFmt w:val="lowerRoman"/>
      <w:lvlText w:val="(%1)"/>
      <w:lvlJc w:val="left"/>
      <w:pPr>
        <w:ind w:left="1713" w:hanging="360"/>
      </w:pPr>
      <w:rPr/>
    </w:lvl>
    <w:lvl w:ilvl="1">
      <w:start w:val="1"/>
      <w:numFmt w:val="lowerLetter"/>
      <w:lvlText w:val="%2."/>
      <w:lvlJc w:val="left"/>
      <w:pPr>
        <w:ind w:left="2433" w:hanging="360"/>
      </w:pPr>
      <w:rPr/>
    </w:lvl>
    <w:lvl w:ilvl="2">
      <w:start w:val="1"/>
      <w:numFmt w:val="lowerRoman"/>
      <w:lvlText w:val="%3."/>
      <w:lvlJc w:val="right"/>
      <w:pPr>
        <w:ind w:left="3153" w:hanging="180"/>
      </w:pPr>
      <w:rPr/>
    </w:lvl>
    <w:lvl w:ilvl="3">
      <w:start w:val="1"/>
      <w:numFmt w:val="decimal"/>
      <w:lvlText w:val="%4."/>
      <w:lvlJc w:val="left"/>
      <w:pPr>
        <w:ind w:left="3873" w:hanging="360"/>
      </w:pPr>
      <w:rPr/>
    </w:lvl>
    <w:lvl w:ilvl="4">
      <w:start w:val="1"/>
      <w:numFmt w:val="lowerLetter"/>
      <w:lvlText w:val="%5."/>
      <w:lvlJc w:val="left"/>
      <w:pPr>
        <w:ind w:left="4593" w:hanging="360"/>
      </w:pPr>
      <w:rPr/>
    </w:lvl>
    <w:lvl w:ilvl="5">
      <w:start w:val="1"/>
      <w:numFmt w:val="lowerRoman"/>
      <w:lvlText w:val="%6."/>
      <w:lvlJc w:val="right"/>
      <w:pPr>
        <w:ind w:left="5313" w:hanging="180"/>
      </w:pPr>
      <w:rPr/>
    </w:lvl>
    <w:lvl w:ilvl="6">
      <w:start w:val="1"/>
      <w:numFmt w:val="decimal"/>
      <w:lvlText w:val="%7."/>
      <w:lvlJc w:val="left"/>
      <w:pPr>
        <w:ind w:left="6033" w:hanging="360"/>
      </w:pPr>
      <w:rPr/>
    </w:lvl>
    <w:lvl w:ilvl="7">
      <w:start w:val="1"/>
      <w:numFmt w:val="lowerLetter"/>
      <w:lvlText w:val="%8."/>
      <w:lvlJc w:val="left"/>
      <w:pPr>
        <w:ind w:left="6753" w:hanging="360"/>
      </w:pPr>
      <w:rPr/>
    </w:lvl>
    <w:lvl w:ilvl="8">
      <w:start w:val="1"/>
      <w:numFmt w:val="lowerRoman"/>
      <w:lvlText w:val="%9."/>
      <w:lvlJc w:val="right"/>
      <w:pPr>
        <w:ind w:left="7473"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240" w:line="240" w:lineRule="auto"/>
      <w:jc w:val="both"/>
    </w:pPr>
    <w:rPr>
      <w:rFonts w:ascii="Arial" w:cs="Arial" w:eastAsia="Arial" w:hAnsi="Arial"/>
    </w:rPr>
  </w:style>
  <w:style w:type="paragraph" w:styleId="Heading2">
    <w:name w:val="heading 2"/>
    <w:basedOn w:val="Normal"/>
    <w:next w:val="Normal"/>
    <w:pPr>
      <w:spacing w:after="240" w:line="240" w:lineRule="auto"/>
      <w:jc w:val="both"/>
    </w:pPr>
    <w:rPr>
      <w:rFonts w:ascii="Arial" w:cs="Arial" w:eastAsia="Arial" w:hAnsi="Arial"/>
    </w:rPr>
  </w:style>
  <w:style w:type="paragraph" w:styleId="Heading3">
    <w:name w:val="heading 3"/>
    <w:basedOn w:val="Normal"/>
    <w:next w:val="Normal"/>
    <w:pPr>
      <w:spacing w:after="240" w:line="240" w:lineRule="auto"/>
      <w:jc w:val="both"/>
    </w:pPr>
    <w:rPr>
      <w:rFonts w:ascii="Arial" w:cs="Arial" w:eastAsia="Arial" w:hAnsi="Arial"/>
    </w:rPr>
  </w:style>
  <w:style w:type="paragraph" w:styleId="Heading4">
    <w:name w:val="heading 4"/>
    <w:basedOn w:val="Normal"/>
    <w:next w:val="Normal"/>
    <w:pPr>
      <w:spacing w:after="240" w:line="240" w:lineRule="auto"/>
      <w:jc w:val="both"/>
    </w:pPr>
    <w:rPr>
      <w:rFonts w:ascii="Arial" w:cs="Arial" w:eastAsia="Arial" w:hAnsi="Arial"/>
    </w:rPr>
  </w:style>
  <w:style w:type="paragraph" w:styleId="Heading5">
    <w:name w:val="heading 5"/>
    <w:basedOn w:val="Normal"/>
    <w:next w:val="Normal"/>
    <w:pPr>
      <w:spacing w:after="240" w:line="240" w:lineRule="auto"/>
      <w:jc w:val="both"/>
    </w:pPr>
    <w:rPr>
      <w:rFonts w:ascii="Arial" w:cs="Arial" w:eastAsia="Arial" w:hAnsi="Arial"/>
    </w:rPr>
  </w:style>
  <w:style w:type="paragraph" w:styleId="Heading6">
    <w:name w:val="heading 6"/>
    <w:basedOn w:val="Normal"/>
    <w:next w:val="Normal"/>
    <w:pPr>
      <w:spacing w:after="240" w:line="240" w:lineRule="auto"/>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